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D4D6" w14:textId="745BB360" w:rsidR="00C373A3" w:rsidRPr="00C8661A" w:rsidRDefault="00C8661A">
      <w:pPr>
        <w:rPr>
          <w:rFonts w:ascii="Arial" w:hAnsi="Arial" w:cs="Arial"/>
          <w:sz w:val="24"/>
          <w:szCs w:val="24"/>
          <w:u w:val="single"/>
        </w:rPr>
      </w:pPr>
      <w:r w:rsidRPr="00C8661A">
        <w:rPr>
          <w:rFonts w:ascii="Arial" w:hAnsi="Arial" w:cs="Arial"/>
          <w:sz w:val="24"/>
          <w:szCs w:val="24"/>
          <w:u w:val="single"/>
        </w:rPr>
        <w:t>FAQ from</w:t>
      </w:r>
      <w:r w:rsidR="001E5FCE">
        <w:rPr>
          <w:rFonts w:ascii="Arial" w:hAnsi="Arial" w:cs="Arial"/>
          <w:sz w:val="24"/>
          <w:szCs w:val="24"/>
          <w:u w:val="single"/>
        </w:rPr>
        <w:t xml:space="preserve"> </w:t>
      </w:r>
      <w:r w:rsidRPr="00C8661A">
        <w:rPr>
          <w:rFonts w:ascii="Arial" w:hAnsi="Arial" w:cs="Arial"/>
          <w:sz w:val="24"/>
          <w:szCs w:val="24"/>
          <w:u w:val="single"/>
        </w:rPr>
        <w:t>Solicitors</w:t>
      </w:r>
    </w:p>
    <w:tbl>
      <w:tblPr>
        <w:tblW w:w="11380" w:type="dxa"/>
        <w:tblLook w:val="04A0" w:firstRow="1" w:lastRow="0" w:firstColumn="1" w:lastColumn="0" w:noHBand="0" w:noVBand="1"/>
      </w:tblPr>
      <w:tblGrid>
        <w:gridCol w:w="960"/>
        <w:gridCol w:w="5100"/>
        <w:gridCol w:w="31"/>
        <w:gridCol w:w="5244"/>
        <w:gridCol w:w="45"/>
      </w:tblGrid>
      <w:tr w:rsidR="005B626C" w:rsidRPr="00C8661A" w14:paraId="18312FF4" w14:textId="77777777" w:rsidTr="001E5FC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D030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0DD" w14:textId="77777777" w:rsidR="005B626C" w:rsidRPr="00C8661A" w:rsidRDefault="005B626C" w:rsidP="00C8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Questions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3670" w14:textId="77777777" w:rsidR="005B626C" w:rsidRPr="00C8661A" w:rsidRDefault="005B626C" w:rsidP="00C86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Answers</w:t>
            </w:r>
          </w:p>
        </w:tc>
      </w:tr>
      <w:tr w:rsidR="005B626C" w:rsidRPr="00C8661A" w14:paraId="03E713FF" w14:textId="77777777" w:rsidTr="001E5FCE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741D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5986" w14:textId="1670FCA8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Can you please email me the latest version of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B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ank's standard loan &amp; security documents?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2D1D" w14:textId="4AC38E76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Kindly refer to clause 8 in Letter of Instruction</w:t>
            </w:r>
            <w:r w:rsidR="00F30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you may contact the person-in-charge stated to purchase the latest version of standard documents.</w:t>
            </w:r>
          </w:p>
        </w:tc>
      </w:tr>
      <w:tr w:rsidR="005B626C" w:rsidRPr="00C8661A" w14:paraId="2077CA4F" w14:textId="77777777" w:rsidTr="001E5FC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C892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65F3" w14:textId="706760CE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What is the latest version of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B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ank's standard loan &amp; security documents?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FE1C" w14:textId="4B3D2320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refer to the "Note" stated at the top right corner of page 1 of Letter of Instruction</w:t>
            </w:r>
            <w:r w:rsidR="00F30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5B626C" w:rsidRPr="00C8661A" w14:paraId="0BE999A5" w14:textId="77777777" w:rsidTr="00352D2C">
        <w:trPr>
          <w:trHeight w:val="27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0D85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7278" w14:textId="2745AA42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Can you please share with me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B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ank's standard letter of consent, letter of appointment of service agent etc?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1F07" w14:textId="109579AC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refer to clause 7 in Letter of Instruction</w:t>
            </w:r>
            <w:r w:rsidR="00F30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You can access some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Bank's standard template via the following navigation path.</w:t>
            </w:r>
          </w:p>
          <w:p w14:paraId="193C468E" w14:textId="40174AD2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201AEC">
              <w:rPr>
                <w:rFonts w:ascii="Arial" w:hAnsi="Arial" w:cs="Arial"/>
                <w:bCs/>
              </w:rPr>
              <w:t xml:space="preserve">Navigation: </w:t>
            </w:r>
            <w:r w:rsidR="00201AEC">
              <w:rPr>
                <w:rFonts w:ascii="Arial" w:hAnsi="Arial" w:cs="Arial"/>
                <w:b/>
                <w:bCs/>
                <w:u w:val="single"/>
              </w:rPr>
              <w:t>www.ocbc.com.my</w:t>
            </w:r>
            <w:r w:rsidR="00201AEC">
              <w:rPr>
                <w:rFonts w:ascii="Arial" w:hAnsi="Arial" w:cs="Arial"/>
                <w:bCs/>
              </w:rPr>
              <w:t xml:space="preserve">     </w:t>
            </w:r>
            <w:r w:rsidR="00201AEC">
              <w:rPr>
                <w:rFonts w:ascii="Arial" w:hAnsi="Arial" w:cs="Arial"/>
                <w:noProof/>
              </w:rPr>
              <w:drawing>
                <wp:inline distT="0" distB="0" distL="0" distR="0" wp14:anchorId="1C48762A" wp14:editId="22E9E6B3">
                  <wp:extent cx="238125" cy="1047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AEC">
              <w:rPr>
                <w:rFonts w:ascii="Arial" w:hAnsi="Arial" w:cs="Arial"/>
                <w:bCs/>
              </w:rPr>
              <w:t xml:space="preserve">  Banking for Businesses </w:t>
            </w:r>
            <w:r w:rsidR="00201AEC">
              <w:rPr>
                <w:rFonts w:ascii="Arial" w:hAnsi="Arial" w:cs="Arial"/>
                <w:noProof/>
              </w:rPr>
              <w:drawing>
                <wp:inline distT="0" distB="0" distL="0" distR="0" wp14:anchorId="3B7CBC8C" wp14:editId="620DED47">
                  <wp:extent cx="238125" cy="104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AEC">
              <w:rPr>
                <w:rFonts w:ascii="Arial" w:hAnsi="Arial" w:cs="Arial"/>
                <w:bCs/>
              </w:rPr>
              <w:t xml:space="preserve">  Business Banking </w:t>
            </w:r>
            <w:r w:rsidR="00201AEC">
              <w:rPr>
                <w:rFonts w:ascii="Arial" w:hAnsi="Arial" w:cs="Arial"/>
                <w:noProof/>
              </w:rPr>
              <w:drawing>
                <wp:inline distT="0" distB="0" distL="0" distR="0" wp14:anchorId="51DEE00D" wp14:editId="6E4633FA">
                  <wp:extent cx="238125" cy="104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AEC">
              <w:rPr>
                <w:rFonts w:ascii="Arial" w:hAnsi="Arial" w:cs="Arial"/>
                <w:bCs/>
              </w:rPr>
              <w:t xml:space="preserve">              Help &amp; Support  </w:t>
            </w:r>
            <w:r w:rsidR="00201AEC">
              <w:rPr>
                <w:rFonts w:ascii="Arial" w:hAnsi="Arial" w:cs="Arial"/>
                <w:noProof/>
              </w:rPr>
              <w:drawing>
                <wp:inline distT="0" distB="0" distL="0" distR="0" wp14:anchorId="52D7E920" wp14:editId="401756FA">
                  <wp:extent cx="238125" cy="1047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AEC">
              <w:rPr>
                <w:rFonts w:ascii="Arial" w:hAnsi="Arial" w:cs="Arial"/>
                <w:bCs/>
              </w:rPr>
              <w:t xml:space="preserve"> </w:t>
            </w:r>
            <w:r w:rsidR="00201AEC" w:rsidRPr="00201AEC">
              <w:rPr>
                <w:rFonts w:ascii="Arial" w:hAnsi="Arial" w:cs="Arial"/>
                <w:bCs/>
              </w:rPr>
              <w:t>Legal Documentation</w:t>
            </w:r>
            <w:r w:rsidR="00201AEC">
              <w:rPr>
                <w:rFonts w:ascii="Arial" w:hAnsi="Arial" w:cs="Arial"/>
                <w:bCs/>
              </w:rPr>
              <w:t xml:space="preserve"> and Guidelines for Loans </w:t>
            </w:r>
            <w:r w:rsidR="00201AEC">
              <w:rPr>
                <w:rFonts w:ascii="Arial" w:hAnsi="Arial" w:cs="Arial"/>
                <w:noProof/>
              </w:rPr>
              <w:drawing>
                <wp:inline distT="0" distB="0" distL="0" distR="0" wp14:anchorId="1C06DAAC" wp14:editId="4DFFC788">
                  <wp:extent cx="238125" cy="1047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AEC">
              <w:rPr>
                <w:rFonts w:ascii="Arial" w:hAnsi="Arial" w:cs="Arial"/>
                <w:bCs/>
              </w:rPr>
              <w:t xml:space="preserve"> See More</w:t>
            </w:r>
          </w:p>
        </w:tc>
      </w:tr>
      <w:tr w:rsidR="005B626C" w:rsidRPr="00C8661A" w14:paraId="5CC8AE13" w14:textId="77777777" w:rsidTr="00352D2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F409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AD5F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Does the loan &amp; security documents require to be initialled on every pages?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DA52" w14:textId="2C72BF9C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Minimally, the schedule pages are to be initialled by all the signatories who signed the documents.</w:t>
            </w:r>
          </w:p>
          <w:p w14:paraId="492D938C" w14:textId="77777777" w:rsidR="00352D2C" w:rsidRDefault="00352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31D06E1" w14:textId="6A211DC4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2D2C" w:rsidRPr="00C8661A" w14:paraId="77F7B56A" w14:textId="77777777" w:rsidTr="00352D2C">
        <w:trPr>
          <w:trHeight w:val="16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40FA" w14:textId="63A16CF1" w:rsidR="00352D2C" w:rsidRPr="00C8661A" w:rsidRDefault="00352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9561" w14:textId="5A3FFB88" w:rsidR="00352D2C" w:rsidRPr="00C8661A" w:rsidRDefault="00352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At which point can we request for original principal security documents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upstamping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8D11" w14:textId="7DFEC2F0" w:rsidR="00352D2C" w:rsidRPr="00C8661A" w:rsidRDefault="00352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Solicitor can write </w:t>
            </w:r>
            <w:proofErr w:type="gramStart"/>
            <w:r w:rsidR="00BF3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 to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Bank to request for the original security documents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upstamping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after the receipt of our Letter Instruction</w:t>
            </w:r>
            <w:r w:rsidR="00F30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(Letter of Appointment). </w:t>
            </w:r>
          </w:p>
        </w:tc>
      </w:tr>
      <w:tr w:rsidR="00352D2C" w:rsidRPr="00C8661A" w14:paraId="040FFB60" w14:textId="77777777" w:rsidTr="004F0386">
        <w:trPr>
          <w:trHeight w:val="16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2C95" w14:textId="74822D76" w:rsidR="00352D2C" w:rsidRPr="00C8661A" w:rsidRDefault="00352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3F78" w14:textId="459A889C" w:rsidR="00352D2C" w:rsidRDefault="00352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What is the procedure to be followed </w:t>
            </w:r>
            <w:r w:rsidR="004F0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to request for the waiver of lodgement of Private Caveat on Master </w:t>
            </w:r>
            <w:proofErr w:type="gramStart"/>
            <w:r w:rsidR="004F0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Title ?</w:t>
            </w:r>
            <w:proofErr w:type="gramEnd"/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E72F" w14:textId="4AA3F938" w:rsidR="00352D2C" w:rsidRPr="00C8661A" w:rsidRDefault="004F0386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enclose the relevant documentary evidence such as Letter from Developer / Sales &amp; Purchase Agreement evidencing that the Developer is not agreeable for the Bank to lodge the Private Caveat. </w:t>
            </w:r>
          </w:p>
        </w:tc>
      </w:tr>
      <w:tr w:rsidR="004F0386" w:rsidRPr="00C8661A" w14:paraId="05B94836" w14:textId="77777777" w:rsidTr="004F0386">
        <w:trPr>
          <w:trHeight w:val="19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FA903" w14:textId="147603DC" w:rsidR="004F0386" w:rsidRDefault="004F0386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AE30" w14:textId="2485C4E5" w:rsidR="004F0386" w:rsidRDefault="004F0386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Which address do we use as the branch address in the security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documents ?</w:t>
            </w:r>
            <w:proofErr w:type="gramEnd"/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4B56" w14:textId="655B2542" w:rsidR="004F0386" w:rsidRDefault="004F0386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Branch of the credit facilities </w:t>
            </w:r>
            <w:r w:rsidR="00665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granted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indicated in the first paragraph of our Letter Offer. </w:t>
            </w:r>
          </w:p>
          <w:p w14:paraId="6577B41D" w14:textId="77777777" w:rsidR="004F0386" w:rsidRDefault="004F0386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CB1DF43" w14:textId="77777777" w:rsidR="004F0386" w:rsidRDefault="004F0386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You may search the respective branch address at our Bank’s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website :</w:t>
            </w:r>
            <w:proofErr w:type="gramEnd"/>
          </w:p>
          <w:p w14:paraId="7CE7822C" w14:textId="77777777" w:rsidR="004F0386" w:rsidRDefault="004F0386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84E0F9A" w14:textId="173175ED" w:rsidR="004F0386" w:rsidRDefault="00000000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8" w:history="1">
              <w:r w:rsidR="00665C37" w:rsidRPr="00665C3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https://www.ocbc.com.my/personal-banking/locate-us?p=1</w:t>
              </w:r>
            </w:hyperlink>
          </w:p>
        </w:tc>
      </w:tr>
      <w:tr w:rsidR="005B626C" w:rsidRPr="00C8661A" w14:paraId="4C7B6FCC" w14:textId="77777777" w:rsidTr="00352D2C">
        <w:trPr>
          <w:trHeight w:val="3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01EC" w14:textId="3BB234C4" w:rsidR="005B626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673F" w14:textId="01801654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Customer request to amend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B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ank's standard loan &amp; security documents, what are the procedures I need to adhere to?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8B50" w14:textId="7779D4D0" w:rsidR="005B626C" w:rsidRPr="00C8661A" w:rsidRDefault="00F83960" w:rsidP="00AC1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Bank’s standard documents should be adopted and there should be no amendments made </w:t>
            </w:r>
            <w:r w:rsidR="005B626C" w:rsidRPr="001D1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unless it is to better protect our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="005B626C" w:rsidRPr="001D1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ank's interest.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If 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Bank’s standard documents need to be amended, kindly tabulate all the proposed amendment(s) in variation table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and 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let us have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(i) 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your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advice on the legal implications to the Bank and (ii) your proposal. </w:t>
            </w:r>
          </w:p>
        </w:tc>
      </w:tr>
      <w:tr w:rsidR="003B0D2C" w:rsidRPr="00C8661A" w14:paraId="32883480" w14:textId="77777777" w:rsidTr="003B0D2C">
        <w:trPr>
          <w:trHeight w:val="14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23EB" w14:textId="3E9F091D" w:rsidR="003B0D2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D672" w14:textId="3DBF8792" w:rsidR="003B0D2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What is the procedure to be followed if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an error is found in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Letter Offer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requires amendments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2EE0" w14:textId="7BBE38D0" w:rsidR="003B0D2C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If there is error in the Letter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Offer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you may email to the documentation officer highlighting the part that need amendment.</w:t>
            </w:r>
          </w:p>
          <w:p w14:paraId="7431B8B7" w14:textId="187C326D" w:rsidR="003B0D2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B0D2C" w:rsidRPr="00C8661A" w14:paraId="21FB5575" w14:textId="77777777" w:rsidTr="001E5FCE">
        <w:trPr>
          <w:trHeight w:val="1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A806" w14:textId="191D99D3" w:rsidR="003B0D2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C2C7" w14:textId="7AF6ECEA" w:rsidR="003B0D2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What is the procedure to be followed to request for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Bank’s Letter of Undertaking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028A" w14:textId="27E8D621" w:rsidR="003B0D2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You may put in your request in writing in your cover letter when sending over the documents for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Bank’s execution.</w:t>
            </w:r>
          </w:p>
        </w:tc>
      </w:tr>
      <w:tr w:rsidR="005B626C" w:rsidRPr="00C8661A" w14:paraId="342CE06E" w14:textId="77777777" w:rsidTr="001E5FCE">
        <w:trPr>
          <w:trHeight w:val="1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C58B" w14:textId="096ED011" w:rsidR="005B626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3691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What are the additional searches need to be conducted for non-resident authorized signatories and/or non-resident individual security parties? 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470B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following searches require: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(i) bankruptcy search in country of origin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(ii) bankruptcy search in </w:t>
            </w:r>
            <w:proofErr w:type="spellStart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Jabatan</w:t>
            </w:r>
            <w:proofErr w:type="spellEnd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Insolvensi</w:t>
            </w:r>
            <w:proofErr w:type="spellEnd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Malaysia via passport number </w:t>
            </w:r>
          </w:p>
        </w:tc>
      </w:tr>
      <w:tr w:rsidR="005B626C" w:rsidRPr="00C8661A" w14:paraId="2EBBE352" w14:textId="77777777" w:rsidTr="003B0D2C">
        <w:trPr>
          <w:trHeight w:val="28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99A1" w14:textId="37746925" w:rsidR="005B626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7BC6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Customer refuse to provide fresh constitutional documents, what should I do? 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97F9" w14:textId="73A908D5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Constitution Documents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valid for 1 year. </w:t>
            </w:r>
          </w:p>
          <w:p w14:paraId="36DA3312" w14:textId="77777777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99D1CF2" w14:textId="5111FA50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 w:type="page"/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 w:type="page"/>
              <w:t xml:space="preserve">If the Customer refuse to provide fresh constitutional documents,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(i)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declaration from customer or email confirmation from company secretary that there is no change to their M&amp;A and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(ii)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Form 24/49 are required provided that the latest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company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search can verify that there are no changes in directors. </w:t>
            </w:r>
          </w:p>
        </w:tc>
      </w:tr>
      <w:tr w:rsidR="005B626C" w:rsidRPr="00C8661A" w14:paraId="3C560A0A" w14:textId="77777777" w:rsidTr="003B0D2C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8B0A" w14:textId="3994BD01" w:rsidR="005B626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FF0F" w14:textId="5C8252D8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help to vet draft </w:t>
            </w:r>
            <w:proofErr w:type="gramStart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documents;</w:t>
            </w:r>
            <w:proofErr w:type="gramEnd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i.e.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Bank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’s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standard documents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C92E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No. It is solicitor's responsibilities to ensure the details which they input are correct, valid and our Bank's interest is protected. </w:t>
            </w:r>
          </w:p>
        </w:tc>
      </w:tr>
      <w:tr w:rsidR="005B626C" w:rsidRPr="00C8661A" w14:paraId="2A614447" w14:textId="77777777" w:rsidTr="003B0D2C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05D0" w14:textId="5FF151B3" w:rsidR="005B626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D0C8" w14:textId="4A71D206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What is the validity period of winding up, bankruptcy, land and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company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search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results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68CA" w14:textId="0DE2444F" w:rsidR="005B626C" w:rsidRPr="00C8661A" w:rsidRDefault="00AC1EC3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P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older than 6 months from drawdown date, except for OCBC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Labuan </w:t>
            </w:r>
            <w:r w:rsidRP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 OABB Labuan cases which must not be older than 3 months from drawdown date.</w:t>
            </w:r>
          </w:p>
        </w:tc>
      </w:tr>
      <w:tr w:rsidR="005B626C" w:rsidRPr="00C8661A" w14:paraId="778BF084" w14:textId="77777777" w:rsidTr="003B0D2C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1B00" w14:textId="36CC9D7C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="003B0D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CC95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there any guide for foreign legal opinion?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DBEA" w14:textId="53D6E041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Yes, please see legal opinion guide attached.</w:t>
            </w:r>
            <w:r w:rsidR="00314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object w:dxaOrig="1562" w:dyaOrig="990" w14:anchorId="45430A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49.5pt" o:ole="">
                  <v:imagedata r:id="rId9" o:title=""/>
                </v:shape>
                <o:OLEObject Type="Embed" ProgID="AcroExch.Document.DC" ShapeID="_x0000_i1025" DrawAspect="Icon" ObjectID="_1774937951" r:id="rId10"/>
              </w:objec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EDA3417" w14:textId="47F4EB6F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B626C" w:rsidRPr="00C8661A" w14:paraId="54CA8934" w14:textId="77777777" w:rsidTr="001E5FCE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F23C" w14:textId="555960DB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="003B0D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D26C" w14:textId="7AE8C08D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There are no suitable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Bank’s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standard  securities</w:t>
            </w:r>
            <w:proofErr w:type="gramEnd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documents to be adopted for the loan deal and our firm is required to draft securities documents specifically to suit the scenario,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does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Bank ha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any specific requirement on drafted documents? 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CED9" w14:textId="7B3E4D32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Firstly, all terms and conditions stipulated in the drafted documents must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capture and reflect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Bank's approved terms.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Secondly, the documents must comply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with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Bank's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inimum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rovision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requirement. Please find attached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inimum 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rovision</w:t>
            </w:r>
            <w:r w:rsidR="00AC1E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checklist for your reference. </w:t>
            </w:r>
          </w:p>
          <w:bookmarkStart w:id="0" w:name="_MON_1750495944"/>
          <w:bookmarkEnd w:id="0"/>
          <w:p w14:paraId="191CC5C2" w14:textId="5A4D4791" w:rsidR="005B626C" w:rsidRDefault="00201AE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object w:dxaOrig="1562" w:dyaOrig="990" w14:anchorId="12F31CC6">
                <v:shape id="_x0000_i1026" type="#_x0000_t75" style="width:78.1pt;height:49.5pt" o:ole="">
                  <v:imagedata r:id="rId11" o:title=""/>
                </v:shape>
                <o:OLEObject Type="Embed" ProgID="Excel.Sheet.12" ShapeID="_x0000_i1026" DrawAspect="Icon" ObjectID="_1774937952" r:id="rId12"/>
              </w:objec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You are required to fill up and sign off the </w:t>
            </w:r>
            <w:r w:rsidR="00ED6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inimum </w:t>
            </w:r>
            <w:r w:rsidR="00ED6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rovision</w:t>
            </w:r>
            <w:r w:rsidR="00ED6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checklist and forward</w:t>
            </w:r>
            <w:r w:rsidR="00ED6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it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to the Bank when</w:t>
            </w:r>
            <w:r w:rsidR="00ED6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you forward the loan and security documents to the 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Bank for execution.</w:t>
            </w:r>
          </w:p>
          <w:p w14:paraId="7473E28E" w14:textId="77777777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5B03EEA" w14:textId="7B196AA2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B626C" w:rsidRPr="00C8661A" w14:paraId="2C9DFA6F" w14:textId="77777777" w:rsidTr="003B0D2C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6C6D" w14:textId="64BC5036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="003B0D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77F3" w14:textId="6348F505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proofErr w:type="gramStart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third party</w:t>
            </w:r>
            <w:proofErr w:type="gramEnd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security party/corporate guarantor would like to appoint an entity other than </w:t>
            </w:r>
            <w:r w:rsidR="00314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orrower to accept any service of legal process, what are documents required to be furnished to the Bank?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83EA" w14:textId="07FF297E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(1) Board Resolution of the entity </w:t>
            </w:r>
            <w:r w:rsidR="00314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authorising and accepting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appointment </w:t>
            </w:r>
            <w:r w:rsidR="00314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of the entity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 process agent</w:t>
            </w:r>
            <w:r w:rsidR="00314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the security party/ corporate guarantor.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(2) company search </w:t>
            </w:r>
            <w:r w:rsidR="00314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result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 the entity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(3) original CTC constitutional documents of the entity</w:t>
            </w:r>
          </w:p>
        </w:tc>
      </w:tr>
      <w:tr w:rsidR="005B626C" w:rsidRPr="00C8661A" w14:paraId="6C702368" w14:textId="77777777" w:rsidTr="003B0D2C">
        <w:trPr>
          <w:trHeight w:val="3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342A" w14:textId="5F5335AE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</w:t>
            </w:r>
            <w:r w:rsidR="003B0D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FFCF" w14:textId="77777777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When is spousal consent required?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42AD" w14:textId="267A8DEC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Spousal consent is required if the individual security party(</w:t>
            </w:r>
            <w:proofErr w:type="spellStart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ies</w:t>
            </w:r>
            <w:proofErr w:type="spellEnd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)/guarantor or </w:t>
            </w:r>
            <w:r w:rsidR="00314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his/her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spouse is a citizen of Indonesia, Myanmar, Thailand, Netherlands, People's Republic of China, Vietnam, </w:t>
            </w:r>
            <w:proofErr w:type="gramStart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Germany</w:t>
            </w:r>
            <w:proofErr w:type="gramEnd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or Italy.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 w:type="page"/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 w:type="page"/>
            </w:r>
          </w:p>
          <w:p w14:paraId="48D2A3E7" w14:textId="77777777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8F065CB" w14:textId="5CABFAB7" w:rsidR="005B626C" w:rsidRPr="00C8661A" w:rsidRDefault="008474EF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copy of the duly signed Letter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eclaration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itizenship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will be provided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to solicitor together with the Letter of Instruction</w:t>
            </w:r>
            <w:r w:rsidR="00F30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5B626C"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 Solicitor is to attend to the signing of Letter of Consent.</w:t>
            </w:r>
          </w:p>
        </w:tc>
      </w:tr>
      <w:tr w:rsidR="005B626C" w:rsidRPr="00C8661A" w14:paraId="21C16A7A" w14:textId="77777777" w:rsidTr="003B0D2C">
        <w:trPr>
          <w:trHeight w:val="81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45A4" w14:textId="11CACF68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</w:t>
            </w:r>
            <w:r w:rsidR="003B0D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7DF8" w14:textId="46A2A385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There are early release terms stipulated in the Letter of Offer / Supplemental Letter of Offer / Letter of Notification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(“LO/SLO/LN”)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what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do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 need to do?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6B8D" w14:textId="3E74B7CE" w:rsidR="005B626C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 early release of the facility,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Firstly, all early release conditions stipulated 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by the Bank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to be complied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with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Secondly, the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orrower and security party(</w:t>
            </w:r>
            <w:proofErr w:type="spellStart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ies</w:t>
            </w:r>
            <w:proofErr w:type="spellEnd"/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) are required 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 provide the following documents unless deferment in receipt of the same are approved and stated in the LO/SLO/LN: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(i)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Board Resolution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(ii)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company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search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result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(iii)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bankruptcy/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winding up search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result of the borrower, security parties and guarantor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(iv)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constitutional documents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(v)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valuation report (if the loan is secured by property)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(vi) FEA 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Notices related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declaration or registration or approval 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with/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from BNM (if applicable)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(vii) copies of the existing Form 34 favouring parties other than our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ank (if applicable)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</w:t>
            </w:r>
            <w:r w:rsidR="008474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viii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) necessary consent for the additional borrowing or creation of the security </w:t>
            </w:r>
            <w:r w:rsidR="00F51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from/ favouring our Bank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(if applicable)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Lastly, duly signed letter of consent by third party security party</w:t>
            </w:r>
            <w:r w:rsidR="00F51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 guarantor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consenting to the early release </w:t>
            </w:r>
            <w:r w:rsidR="00F51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of the facilities 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(if applicable)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The remaining documentation are to be completed on or before the timeline stipulated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by the Bank</w:t>
            </w:r>
            <w:r w:rsidRPr="00C86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  <w:p w14:paraId="689C6151" w14:textId="7FDB7585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B626C" w:rsidRPr="00C8661A" w14:paraId="4134235A" w14:textId="77777777" w:rsidTr="001E5FCE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13377" w14:textId="46B779C7" w:rsidR="005B626C" w:rsidRPr="00C8661A" w:rsidRDefault="003B0D2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2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21FC" w14:textId="2ECED28D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5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latest qu</w:t>
            </w:r>
            <w:r w:rsidRPr="00F25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it rent, 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and </w:t>
            </w:r>
            <w:r w:rsidRPr="00F25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assessment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receipts and</w:t>
            </w:r>
            <w:r w:rsidRPr="00F25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land search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result</w:t>
            </w:r>
            <w:r w:rsidRPr="00F25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required for existing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security</w:t>
            </w:r>
            <w:r w:rsidRPr="00F25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properties 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when the lawyer </w:t>
            </w:r>
            <w:r w:rsidRPr="00F25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advise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Pr="00F25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on additional/ conversion/ restructuring of facilities?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C4DF" w14:textId="2BA9A26D" w:rsidR="005B626C" w:rsidRPr="00C8661A" w:rsidRDefault="005B626C" w:rsidP="00C86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Yes, all are required.</w:t>
            </w:r>
          </w:p>
        </w:tc>
      </w:tr>
      <w:tr w:rsidR="005B626C" w:rsidRPr="006E6E83" w14:paraId="58EF9353" w14:textId="77777777" w:rsidTr="00084CAD">
        <w:trPr>
          <w:gridAfter w:val="1"/>
          <w:wAfter w:w="45" w:type="dxa"/>
          <w:trHeight w:val="2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B73B" w14:textId="11777BC6" w:rsidR="005B626C" w:rsidRPr="006E6E83" w:rsidRDefault="003B0D2C" w:rsidP="006E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F4FA" w14:textId="4ECF3DD5" w:rsidR="005B626C" w:rsidRPr="006E6E83" w:rsidRDefault="005B626C" w:rsidP="006E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Where 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 send the 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loan and security documents and 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solicitor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’s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advice letter and any related documents for 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execution/ 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drawdown?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6160" w14:textId="057585A3" w:rsidR="005B626C" w:rsidRDefault="005B626C" w:rsidP="006E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send to the following </w:t>
            </w:r>
            <w:proofErr w:type="gramStart"/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address:-</w:t>
            </w:r>
            <w:proofErr w:type="gramEnd"/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Corporate Credit Administration Department (CCA)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OCBC Bank (Malaysia) </w:t>
            </w:r>
            <w:proofErr w:type="spellStart"/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Berhad</w:t>
            </w:r>
            <w:proofErr w:type="spellEnd"/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Level 2 (Central Services), Menara OCBC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No.18, Jalan Tun Perak,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50050 Kuala Lumpur.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Kindly quote the </w:t>
            </w:r>
            <w:r w:rsidR="00F8396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ank's reference number and attention to the contact person stated in the Letter of Instruction</w:t>
            </w:r>
            <w:r w:rsidR="00F30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</w:p>
          <w:p w14:paraId="2E1DEA8C" w14:textId="1FFEC21C" w:rsidR="005B626C" w:rsidRPr="006E6E83" w:rsidRDefault="005B626C" w:rsidP="006E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B626C" w:rsidRPr="006E6E83" w14:paraId="312135A7" w14:textId="77777777" w:rsidTr="00084CAD">
        <w:trPr>
          <w:gridAfter w:val="1"/>
          <w:wAfter w:w="45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BF86" w14:textId="78EB32E7" w:rsidR="005B626C" w:rsidRPr="006E6E83" w:rsidRDefault="003B0D2C" w:rsidP="006E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8A5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78DC" w14:textId="4EFB335E" w:rsidR="005B626C" w:rsidRPr="006E6E83" w:rsidRDefault="005B626C" w:rsidP="006E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Any standard format of the Letter of Advi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e?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4918" w14:textId="77777777" w:rsidR="005B626C" w:rsidRPr="006E6E83" w:rsidRDefault="005B626C" w:rsidP="006E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No, free text</w:t>
            </w:r>
          </w:p>
        </w:tc>
      </w:tr>
      <w:tr w:rsidR="00084CAD" w:rsidRPr="006E6E83" w14:paraId="6F400762" w14:textId="77777777" w:rsidTr="00084CAD">
        <w:trPr>
          <w:gridAfter w:val="1"/>
          <w:wAfter w:w="45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97C2D" w14:textId="792608FC" w:rsidR="00084CAD" w:rsidRPr="00317509" w:rsidRDefault="00084CAD" w:rsidP="006E6E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6BE9" w14:textId="77777777" w:rsidR="00084CAD" w:rsidRPr="00317509" w:rsidRDefault="00084CAD" w:rsidP="0008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 standard format of the Letter of Authorisation by customer/assignor/</w:t>
            </w:r>
            <w:proofErr w:type="spellStart"/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chargor</w:t>
            </w:r>
            <w:proofErr w:type="spellEnd"/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  <w:p w14:paraId="730D8850" w14:textId="30F28776" w:rsidR="00084CAD" w:rsidRPr="00317509" w:rsidRDefault="00084CAD" w:rsidP="0008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(For redemption &amp; discharge of security(</w:t>
            </w:r>
            <w:proofErr w:type="spellStart"/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ies</w:t>
            </w:r>
            <w:proofErr w:type="spellEnd"/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 purposes)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BB0D" w14:textId="77777777" w:rsidR="00317509" w:rsidRDefault="00317509" w:rsidP="00317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Yes, please see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standard format of the Letter of Authorisation as</w:t>
            </w:r>
            <w:r w:rsidRPr="003175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attached.</w:t>
            </w:r>
          </w:p>
          <w:bookmarkStart w:id="1" w:name="_MON_1774937049"/>
          <w:bookmarkEnd w:id="1"/>
          <w:p w14:paraId="69334737" w14:textId="36284E5D" w:rsidR="00317509" w:rsidRPr="00317509" w:rsidRDefault="00317509" w:rsidP="00317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object w:dxaOrig="1539" w:dyaOrig="997" w14:anchorId="43530D7E">
                <v:shape id="_x0000_i1027" type="#_x0000_t75" style="width:76.95pt;height:49.85pt" o:ole="">
                  <v:imagedata r:id="rId13" o:title=""/>
                </v:shape>
                <o:OLEObject Type="Embed" ProgID="Word.Document.12" ShapeID="_x0000_i1027" DrawAspect="Icon" ObjectID="_1774937953" r:id="rId14">
                  <o:FieldCodes>\s</o:FieldCodes>
                </o:OLEObject>
              </w:object>
            </w:r>
          </w:p>
        </w:tc>
      </w:tr>
    </w:tbl>
    <w:p w14:paraId="63FDC463" w14:textId="77777777" w:rsidR="006E6E83" w:rsidRPr="00C8661A" w:rsidRDefault="006E6E83">
      <w:pPr>
        <w:rPr>
          <w:rFonts w:ascii="Arial" w:hAnsi="Arial" w:cs="Arial"/>
          <w:sz w:val="24"/>
          <w:szCs w:val="24"/>
          <w:u w:val="single"/>
        </w:rPr>
      </w:pPr>
    </w:p>
    <w:sectPr w:rsidR="006E6E83" w:rsidRPr="00C8661A" w:rsidSect="009246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08B9" w14:textId="77777777" w:rsidR="009246D8" w:rsidRDefault="009246D8" w:rsidP="00C8661A">
      <w:pPr>
        <w:spacing w:after="0" w:line="240" w:lineRule="auto"/>
      </w:pPr>
      <w:r>
        <w:separator/>
      </w:r>
    </w:p>
  </w:endnote>
  <w:endnote w:type="continuationSeparator" w:id="0">
    <w:p w14:paraId="78AF9F10" w14:textId="77777777" w:rsidR="009246D8" w:rsidRDefault="009246D8" w:rsidP="00C8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C91B" w14:textId="77777777" w:rsidR="00C8661A" w:rsidRDefault="00C866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FEE0B3" wp14:editId="63FEF8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0"/>
              <wp:wrapSquare wrapText="bothSides"/>
              <wp:docPr id="2" name="Text Box 2" descr="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C094D" w14:textId="77777777" w:rsidR="00C8661A" w:rsidRPr="00C8661A" w:rsidRDefault="00C8661A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C8661A"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EE0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05C094D" w14:textId="77777777" w:rsidR="00C8661A" w:rsidRPr="00C8661A" w:rsidRDefault="00C8661A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C8661A">
                      <w:rPr>
                        <w:rFonts w:ascii="Calibri" w:eastAsia="Calibri" w:hAnsi="Calibri" w:cs="Calibri"/>
                        <w:color w:val="000000"/>
                      </w:rPr>
                      <w:t xml:space="preserve">Confidential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9928" w14:textId="77777777" w:rsidR="00C8661A" w:rsidRDefault="00C866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8351C" wp14:editId="353A48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0"/>
              <wp:wrapSquare wrapText="bothSides"/>
              <wp:docPr id="3" name="Text Box 3" descr="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2710F" w14:textId="77777777" w:rsidR="00C8661A" w:rsidRPr="00C8661A" w:rsidRDefault="00C8661A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C8661A"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835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562710F" w14:textId="77777777" w:rsidR="00C8661A" w:rsidRPr="00C8661A" w:rsidRDefault="00C8661A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C8661A">
                      <w:rPr>
                        <w:rFonts w:ascii="Calibri" w:eastAsia="Calibri" w:hAnsi="Calibri" w:cs="Calibri"/>
                        <w:color w:val="000000"/>
                      </w:rPr>
                      <w:t xml:space="preserve">Confidential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4C99" w14:textId="77777777" w:rsidR="00C8661A" w:rsidRDefault="00C866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7FFA565" wp14:editId="4578D3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0"/>
              <wp:wrapSquare wrapText="bothSides"/>
              <wp:docPr id="1" name="Text Box 1" descr="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D98B2" w14:textId="77777777" w:rsidR="00C8661A" w:rsidRPr="00C8661A" w:rsidRDefault="00C8661A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C8661A"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FA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" style="position:absolute;margin-left:0;margin-top:.05pt;width:34.95pt;height:34.95pt;z-index: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75D98B2" w14:textId="77777777" w:rsidR="00C8661A" w:rsidRPr="00C8661A" w:rsidRDefault="00C8661A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C8661A">
                      <w:rPr>
                        <w:rFonts w:ascii="Calibri" w:eastAsia="Calibri" w:hAnsi="Calibri" w:cs="Calibri"/>
                        <w:color w:val="000000"/>
                      </w:rPr>
                      <w:t xml:space="preserve">Confidential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8271" w14:textId="77777777" w:rsidR="009246D8" w:rsidRDefault="009246D8" w:rsidP="00C8661A">
      <w:pPr>
        <w:spacing w:after="0" w:line="240" w:lineRule="auto"/>
      </w:pPr>
      <w:r>
        <w:separator/>
      </w:r>
    </w:p>
  </w:footnote>
  <w:footnote w:type="continuationSeparator" w:id="0">
    <w:p w14:paraId="595EF493" w14:textId="77777777" w:rsidR="009246D8" w:rsidRDefault="009246D8" w:rsidP="00C8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61BB" w14:textId="77777777" w:rsidR="00C8661A" w:rsidRDefault="00C86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137454"/>
      <w:docPartObj>
        <w:docPartGallery w:val="Watermarks"/>
        <w:docPartUnique/>
      </w:docPartObj>
    </w:sdtPr>
    <w:sdtContent>
      <w:p w14:paraId="0747728C" w14:textId="0F35CCE3" w:rsidR="00C8661A" w:rsidRDefault="00000000">
        <w:pPr>
          <w:pStyle w:val="Header"/>
        </w:pPr>
        <w:r>
          <w:rPr>
            <w:noProof/>
          </w:rPr>
          <w:pict w14:anchorId="174F94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14E8" w14:textId="77777777" w:rsidR="00C8661A" w:rsidRDefault="00C86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1A"/>
    <w:rsid w:val="0003045F"/>
    <w:rsid w:val="00046341"/>
    <w:rsid w:val="00084CAD"/>
    <w:rsid w:val="000A75FE"/>
    <w:rsid w:val="000C360E"/>
    <w:rsid w:val="001A0625"/>
    <w:rsid w:val="001D18D7"/>
    <w:rsid w:val="001E5FCE"/>
    <w:rsid w:val="00201AEC"/>
    <w:rsid w:val="002E29C5"/>
    <w:rsid w:val="00300ADA"/>
    <w:rsid w:val="00314AA2"/>
    <w:rsid w:val="00317509"/>
    <w:rsid w:val="00320897"/>
    <w:rsid w:val="00352D2C"/>
    <w:rsid w:val="003B0D2C"/>
    <w:rsid w:val="00475961"/>
    <w:rsid w:val="004F0386"/>
    <w:rsid w:val="00515116"/>
    <w:rsid w:val="005B626C"/>
    <w:rsid w:val="005F729A"/>
    <w:rsid w:val="00665C37"/>
    <w:rsid w:val="006E6E83"/>
    <w:rsid w:val="007B6048"/>
    <w:rsid w:val="007D4A9C"/>
    <w:rsid w:val="008474EF"/>
    <w:rsid w:val="008A5F96"/>
    <w:rsid w:val="009246D8"/>
    <w:rsid w:val="00A2265F"/>
    <w:rsid w:val="00AC1EC3"/>
    <w:rsid w:val="00B25F35"/>
    <w:rsid w:val="00BF398E"/>
    <w:rsid w:val="00C373A3"/>
    <w:rsid w:val="00C8661A"/>
    <w:rsid w:val="00D2692B"/>
    <w:rsid w:val="00E44E5A"/>
    <w:rsid w:val="00ED6186"/>
    <w:rsid w:val="00F25CDE"/>
    <w:rsid w:val="00F304F3"/>
    <w:rsid w:val="00F515C5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AC2F8"/>
  <w15:chartTrackingRefBased/>
  <w15:docId w15:val="{1175395A-BDCC-47EF-B052-BF36884E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1A"/>
  </w:style>
  <w:style w:type="paragraph" w:styleId="Footer">
    <w:name w:val="footer"/>
    <w:basedOn w:val="Normal"/>
    <w:link w:val="FooterChar"/>
    <w:uiPriority w:val="99"/>
    <w:unhideWhenUsed/>
    <w:rsid w:val="00C86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1A"/>
  </w:style>
  <w:style w:type="character" w:styleId="Hyperlink">
    <w:name w:val="Hyperlink"/>
    <w:basedOn w:val="DefaultParagraphFont"/>
    <w:uiPriority w:val="99"/>
    <w:unhideWhenUsed/>
    <w:rsid w:val="00665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C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bc.com.my/personal-banking/locate-us?p=1" TargetMode="Externa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CD1E-647C-4698-8F8B-67B531D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OCBC Bank Ltd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Koay Kim Duan</dc:creator>
  <cp:keywords/>
  <dc:description/>
  <cp:lastModifiedBy>Seow Shy Chee (Racheal)</cp:lastModifiedBy>
  <cp:revision>3</cp:revision>
  <dcterms:created xsi:type="dcterms:W3CDTF">2024-04-18T01:18:00Z</dcterms:created>
  <dcterms:modified xsi:type="dcterms:W3CDTF">2024-04-18T01:33:00Z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Confidential </vt:lpwstr>
  </property>
  <property fmtid="{D5CDD505-2E9C-101B-9397-08002B2CF9AE}" pid="5" name="MSIP_Label_72f83919-172d-4267-8650-9c8bc5f58592_Enabled">
    <vt:lpwstr>true</vt:lpwstr>
  </property>
  <property fmtid="{D5CDD505-2E9C-101B-9397-08002B2CF9AE}" pid="6" name="MSIP_Label_72f83919-172d-4267-8650-9c8bc5f58592_SetDate">
    <vt:lpwstr>2022-08-11T09:14:22Z</vt:lpwstr>
  </property>
  <property fmtid="{D5CDD505-2E9C-101B-9397-08002B2CF9AE}" pid="7" name="MSIP_Label_72f83919-172d-4267-8650-9c8bc5f58592_Method">
    <vt:lpwstr>Standard</vt:lpwstr>
  </property>
  <property fmtid="{D5CDD505-2E9C-101B-9397-08002B2CF9AE}" pid="8" name="MSIP_Label_72f83919-172d-4267-8650-9c8bc5f58592_Name">
    <vt:lpwstr>Confidential</vt:lpwstr>
  </property>
  <property fmtid="{D5CDD505-2E9C-101B-9397-08002B2CF9AE}" pid="9" name="MSIP_Label_72f83919-172d-4267-8650-9c8bc5f58592_SiteId">
    <vt:lpwstr>95d24fd6-5ac5-4081-8534-d22230764441</vt:lpwstr>
  </property>
  <property fmtid="{D5CDD505-2E9C-101B-9397-08002B2CF9AE}" pid="10" name="MSIP_Label_72f83919-172d-4267-8650-9c8bc5f58592_ActionId">
    <vt:lpwstr>d0a059e5-b74d-4822-afbd-8aecc3155888</vt:lpwstr>
  </property>
  <property fmtid="{D5CDD505-2E9C-101B-9397-08002B2CF9AE}" pid="11" name="MSIP_Label_72f83919-172d-4267-8650-9c8bc5f58592_ContentBits">
    <vt:lpwstr>2</vt:lpwstr>
  </property>
</Properties>
</file>